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default" w:ascii="宋体" w:hAnsi="宋体" w:eastAsia="宋体" w:cs="宋体"/>
          <w:b w:val="0"/>
          <w:bCs w:val="0"/>
          <w:color w:val="auto"/>
          <w:sz w:val="36"/>
          <w:szCs w:val="36"/>
          <w:lang w:bidi="en-US"/>
        </w:rPr>
      </w:pPr>
      <w:bookmarkStart w:id="0" w:name="_Toc23836"/>
      <w:bookmarkStart w:id="1" w:name="_Toc27262"/>
      <w:bookmarkStart w:id="2" w:name="_Toc26893"/>
      <w:r>
        <w:rPr>
          <w:rFonts w:hint="default" w:ascii="宋体" w:hAnsi="宋体" w:eastAsia="宋体" w:cs="宋体"/>
          <w:b w:val="0"/>
          <w:bCs w:val="0"/>
          <w:color w:val="auto"/>
          <w:sz w:val="36"/>
          <w:szCs w:val="36"/>
          <w:lang w:bidi="en-US"/>
        </w:rPr>
        <w:t>北京市海淀区东升镇北部片区朱房四街棚户区改造项目二期（剩余用地）HD00-0803-0029地块R2二类居住用地</w:t>
      </w:r>
    </w:p>
    <w:p>
      <w:pPr>
        <w:pStyle w:val="4"/>
        <w:spacing w:before="63" w:beforeLines="20" w:after="63" w:afterLines="20"/>
        <w:jc w:val="center"/>
        <w:rPr>
          <w:rFonts w:hint="eastAsia" w:ascii="宋体" w:hAnsi="宋体" w:eastAsia="宋体" w:cs="宋体"/>
          <w:b w:val="0"/>
          <w:bCs w:val="0"/>
          <w:color w:val="auto"/>
          <w:sz w:val="36"/>
          <w:szCs w:val="36"/>
          <w:lang w:bidi="en-US"/>
        </w:rPr>
      </w:pPr>
      <w:bookmarkStart w:id="3" w:name="_Toc7547"/>
      <w:bookmarkStart w:id="4" w:name="_Toc27900"/>
      <w:bookmarkStart w:id="5" w:name="_Toc4784"/>
      <w:bookmarkStart w:id="6" w:name="_Toc28400"/>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北京市海淀区东升镇北部片区朱房四街棚户区改造项目二期（剩余用地）HD00-0803-0029地块R2二类居住用地</w:t>
      </w:r>
      <w:r>
        <w:rPr>
          <w:rFonts w:ascii="Times New Roman" w:hAnsi="Times New Roman" w:eastAsia="仿宋_GB2312" w:cs="Times New Roman"/>
          <w:color w:val="auto"/>
          <w:sz w:val="28"/>
        </w:rPr>
        <w:t>国有建设用地使用权。北京市公共资源交易中心负责本次挂牌出让的组</w:t>
      </w:r>
      <w:r>
        <w:rPr>
          <w:rFonts w:hint="default" w:ascii="Times New Roman" w:hAnsi="Times New Roman" w:eastAsia="仿宋_GB2312" w:cs="Times New Roman"/>
          <w:color w:val="auto"/>
          <w:sz w:val="28"/>
        </w:rPr>
        <w:t>织和实施工作</w:t>
      </w:r>
      <w:r>
        <w:rPr>
          <w:rFonts w:ascii="Times New Roman" w:hAnsi="Times New Roman" w:eastAsia="仿宋_GB2312" w:cs="Times New Roman"/>
          <w:color w:val="auto"/>
          <w:sz w:val="28"/>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海淀区东升镇</w:t>
      </w:r>
      <w:r>
        <w:rPr>
          <w:rFonts w:hint="default" w:ascii="Times New Roman" w:hAnsi="Times New Roman" w:eastAsia="仿宋_GB2312" w:cs="Times New Roman"/>
          <w:color w:val="auto"/>
          <w:sz w:val="28"/>
        </w:rPr>
        <w:t>。四至范围详见《“多规合一”协同平台审核意见的函》（京规自（海）供审函[2024]0006号）及其附图。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eastAsia="zh-CN"/>
        </w:rPr>
        <w:t>通一平</w:t>
      </w:r>
      <w:r>
        <w:rPr>
          <w:rFonts w:hint="default" w:ascii="Times New Roman" w:hAnsi="Times New Roman" w:eastAsia="仿宋_GB2312" w:cs="Times New Roman"/>
          <w:color w:val="auto"/>
          <w:sz w:val="28"/>
          <w:szCs w:val="28"/>
        </w:rPr>
        <w:t>”形式供地。规划经济技术指标如下表：</w:t>
      </w:r>
    </w:p>
    <w:tbl>
      <w:tblPr>
        <w:tblStyle w:val="8"/>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海</w:t>
            </w:r>
            <w:r>
              <w:rPr>
                <w:rFonts w:hint="default" w:ascii="Times New Roman" w:hAnsi="Times New Roman" w:eastAsia="仿宋_GB2312" w:cs="Times New Roman"/>
                <w:color w:val="auto"/>
                <w:spacing w:val="0"/>
                <w:sz w:val="24"/>
                <w:lang w:val="en-US" w:eastAsia="zh-CN"/>
              </w:rPr>
              <w:t>）[2024]0</w:t>
            </w:r>
            <w:r>
              <w:rPr>
                <w:rFonts w:hint="eastAsia" w:ascii="Times New Roman" w:hAnsi="Times New Roman" w:eastAsia="仿宋_GB2312" w:cs="Times New Roman"/>
                <w:color w:val="auto"/>
                <w:spacing w:val="0"/>
                <w:sz w:val="24"/>
                <w:lang w:val="en-US" w:eastAsia="zh-CN"/>
              </w:rPr>
              <w:t>51</w:t>
            </w:r>
            <w:r>
              <w:rPr>
                <w:rFonts w:hint="default" w:ascii="Times New Roman" w:hAnsi="Times New Roman" w:eastAsia="仿宋_GB2312" w:cs="Times New Roman"/>
                <w:color w:val="auto"/>
                <w:spacing w:val="0"/>
                <w:sz w:val="24"/>
                <w:lang w:val="en-US" w:eastAsia="zh-CN"/>
              </w:rPr>
              <w:t>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R2二类居住用地</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42734.155</w:t>
            </w:r>
          </w:p>
        </w:tc>
        <w:tc>
          <w:tcPr>
            <w:tcW w:w="1671"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102561.972</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w:t>
      </w:r>
      <w:r>
        <w:rPr>
          <w:rFonts w:ascii="Times New Roman" w:hAnsi="Times New Roman" w:cs="Times New Roman"/>
          <w:color w:val="auto"/>
          <w:sz w:val="28"/>
          <w:highlight w:val="none"/>
        </w:rPr>
        <w:t>人民币</w:t>
      </w:r>
      <w:r>
        <w:rPr>
          <w:rFonts w:hint="eastAsia" w:ascii="Times New Roman" w:hAnsi="Times New Roman" w:cs="Times New Roman"/>
          <w:color w:val="auto"/>
          <w:sz w:val="28"/>
          <w:highlight w:val="none"/>
          <w:lang w:val="en-US" w:eastAsia="zh-CN"/>
        </w:rPr>
        <w:t>780000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hAnsi="Times New Roman" w:cs="Times New Roman"/>
          <w:color w:val="auto"/>
          <w:sz w:val="28"/>
          <w:highlight w:val="none"/>
          <w:lang w:val="en-US" w:eastAsia="zh-CN"/>
        </w:rPr>
        <w:t>800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整，竞买保证金为人民币</w:t>
      </w:r>
      <w:r>
        <w:rPr>
          <w:rFonts w:hint="eastAsia" w:ascii="Times New Roman" w:hAnsi="Times New Roman" w:cs="Times New Roman"/>
          <w:color w:val="auto"/>
          <w:sz w:val="28"/>
          <w:highlight w:val="none"/>
          <w:lang w:val="en-US" w:eastAsia="zh-CN"/>
        </w:rPr>
        <w:t>156000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11</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2</w:t>
      </w:r>
      <w:bookmarkStart w:id="10" w:name="_GoBack"/>
      <w:bookmarkEnd w:id="10"/>
      <w:r>
        <w:rPr>
          <w:rFonts w:hint="eastAsia" w:ascii="Times New Roman" w:hAnsi="Times New Roman" w:cs="Times New Roman"/>
          <w:color w:val="auto"/>
          <w:sz w:val="28"/>
          <w:lang w:val="en-US" w:eastAsia="zh-CN"/>
        </w:rPr>
        <w:t>8</w:t>
      </w:r>
      <w:r>
        <w:rPr>
          <w:rFonts w:hint="default" w:ascii="Times New Roman" w:hAnsi="Times New Roman" w:cs="Times New Roman"/>
          <w:color w:val="auto"/>
          <w:sz w:val="28"/>
        </w:rPr>
        <w:t>日9：00时起，竞</w:t>
      </w:r>
      <w:r>
        <w:rPr>
          <w:rFonts w:hint="default" w:ascii="Times New Roman" w:hAnsi="Times New Roman" w:cs="Times New Roman"/>
          <w:color w:val="auto"/>
          <w:sz w:val="28"/>
          <w:highlight w:val="none"/>
        </w:rPr>
        <w:t>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年</w:t>
      </w:r>
      <w:r>
        <w:rPr>
          <w:rFonts w:hint="eastAsia"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eastAsia" w:ascii="Times New Roman" w:hAnsi="Times New Roman" w:cs="Times New Roman"/>
          <w:color w:val="auto"/>
          <w:sz w:val="28"/>
          <w:highlight w:val="none"/>
          <w:lang w:val="en-US" w:eastAsia="zh-CN"/>
        </w:rPr>
        <w:t>31</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年</w:t>
      </w:r>
      <w:r>
        <w:rPr>
          <w:rFonts w:hint="eastAsia"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eastAsia" w:ascii="Times New Roman" w:hAnsi="Times New Roman" w:cs="Times New Roman"/>
          <w:color w:val="auto"/>
          <w:sz w:val="28"/>
          <w:highlight w:val="none"/>
          <w:lang w:val="en-US" w:eastAsia="zh-CN"/>
        </w:rPr>
        <w:t>18</w:t>
      </w:r>
      <w:r>
        <w:rPr>
          <w:rFonts w:hint="default" w:ascii="Times New Roman" w:hAnsi="Times New Roman" w:cs="Times New Roman"/>
          <w:color w:val="auto"/>
          <w:sz w:val="28"/>
          <w:highlight w:val="none"/>
        </w:rPr>
        <w:t>日9：00时起，挂牌竞价截止时间为20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eastAsia"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eastAsia" w:ascii="Times New Roman" w:hAnsi="Times New Roman" w:cs="Times New Roman"/>
          <w:color w:val="auto"/>
          <w:sz w:val="28"/>
          <w:highlight w:val="none"/>
          <w:lang w:val="en-US" w:eastAsia="zh-CN"/>
        </w:rPr>
        <w:t>2</w:t>
      </w:r>
      <w:r>
        <w:rPr>
          <w:rFonts w:hint="default" w:ascii="Times New Roman" w:hAnsi="Times New Roman" w:cs="Times New Roman"/>
          <w:color w:val="auto"/>
          <w:sz w:val="28"/>
          <w:highlight w:val="none"/>
        </w:rPr>
        <w:t>日15：00时</w:t>
      </w:r>
      <w:r>
        <w:rPr>
          <w:rFonts w:hint="default" w:ascii="Times New Roman" w:hAnsi="Times New Roman" w:cs="Times New Roman"/>
          <w:color w:val="auto"/>
          <w:sz w:val="28"/>
        </w:rPr>
        <w:t>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default" w:ascii="Times New Roman" w:hAnsi="Times New Roman" w:eastAsia="仿宋_GB2312" w:cs="Times New Roman"/>
          <w:color w:val="auto"/>
          <w:kern w:val="2"/>
          <w:sz w:val="28"/>
          <w:szCs w:val="24"/>
          <w:lang w:val="en-US" w:eastAsia="zh-CN" w:bidi="ar-SA"/>
        </w:rPr>
        <w:t>202</w:t>
      </w:r>
      <w:r>
        <w:rPr>
          <w:rFonts w:hint="default" w:ascii="Times New Roman" w:hAnsi="Times New Roman" w:cs="Times New Roman"/>
          <w:color w:val="auto"/>
          <w:kern w:val="2"/>
          <w:sz w:val="28"/>
          <w:szCs w:val="24"/>
          <w:lang w:val="en-US" w:eastAsia="zh-CN" w:bidi="ar-SA"/>
        </w:rPr>
        <w:t>4</w:t>
      </w:r>
      <w:r>
        <w:rPr>
          <w:rFonts w:hint="default" w:ascii="Times New Roman" w:hAnsi="Times New Roman" w:eastAsia="仿宋_GB2312" w:cs="Times New Roman"/>
          <w:color w:val="auto"/>
          <w:kern w:val="2"/>
          <w:sz w:val="28"/>
          <w:szCs w:val="24"/>
          <w:lang w:val="en-US" w:eastAsia="zh-CN" w:bidi="ar-SA"/>
        </w:rPr>
        <w:t>年</w:t>
      </w:r>
      <w:r>
        <w:rPr>
          <w:rFonts w:hint="eastAsia" w:ascii="Times New Roman" w:hAnsi="Times New Roman" w:cs="Times New Roman"/>
          <w:color w:val="auto"/>
          <w:kern w:val="2"/>
          <w:sz w:val="28"/>
          <w:szCs w:val="24"/>
          <w:lang w:val="en-US" w:eastAsia="zh-CN" w:bidi="ar-SA"/>
        </w:rPr>
        <w:t>11</w:t>
      </w:r>
      <w:r>
        <w:rPr>
          <w:rFonts w:hint="default" w:ascii="Times New Roman" w:hAnsi="Times New Roman" w:eastAsia="仿宋_GB2312" w:cs="Times New Roman"/>
          <w:color w:val="auto"/>
          <w:kern w:val="2"/>
          <w:sz w:val="28"/>
          <w:szCs w:val="24"/>
          <w:lang w:val="en-US" w:eastAsia="zh-CN" w:bidi="ar-SA"/>
        </w:rPr>
        <w:t>月</w:t>
      </w:r>
      <w:r>
        <w:rPr>
          <w:rFonts w:hint="eastAsia" w:ascii="Times New Roman" w:hAnsi="Times New Roman" w:cs="Times New Roman"/>
          <w:color w:val="auto"/>
          <w:kern w:val="2"/>
          <w:sz w:val="28"/>
          <w:szCs w:val="24"/>
          <w:lang w:val="en-US" w:eastAsia="zh-CN" w:bidi="ar-SA"/>
        </w:rPr>
        <w:t>28</w:t>
      </w:r>
      <w:r>
        <w:rPr>
          <w:rFonts w:hint="default" w:ascii="Times New Roman" w:hAnsi="Times New Roman" w:eastAsia="仿宋_GB2312" w:cs="Times New Roman"/>
          <w:color w:val="auto"/>
          <w:kern w:val="2"/>
          <w:sz w:val="28"/>
          <w:szCs w:val="24"/>
          <w:lang w:val="en-US" w:eastAsia="zh-CN" w:bidi="ar-SA"/>
        </w:rPr>
        <w:t>日9:00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28</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31</w:t>
      </w:r>
      <w:r>
        <w:rPr>
          <w:rFonts w:hint="default" w:ascii="Times New Roman" w:hAnsi="Times New Roman" w:eastAsia="仿宋_GB2312" w:cs="Times New Roman"/>
          <w:color w:val="auto"/>
          <w:sz w:val="28"/>
          <w:highlight w:val="none"/>
        </w:rPr>
        <w:t>日，每工作日上午9:30-12:00，下午14:30-17:00，电话：010-55597352、010-55597351。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w:t>
      </w:r>
      <w:r>
        <w:rPr>
          <w:rFonts w:hint="eastAsia" w:ascii="Times New Roman" w:hAnsi="Times New Roman" w:eastAsia="仿宋_GB2312" w:cs="Times New Roman"/>
          <w:color w:val="auto"/>
          <w:sz w:val="28"/>
          <w:lang w:val="en-US" w:eastAsia="zh-CN"/>
        </w:rPr>
        <w:t>8</w:t>
      </w:r>
      <w:r>
        <w:rPr>
          <w:rFonts w:hint="default" w:ascii="Times New Roman" w:hAnsi="Times New Roman" w:eastAsia="仿宋_GB2312" w:cs="Times New Roman"/>
          <w:color w:val="auto"/>
          <w:sz w:val="28"/>
          <w:lang w:val="en-US" w:eastAsia="zh-CN"/>
        </w:rPr>
        <w:t>、555951</w:t>
      </w:r>
      <w:r>
        <w:rPr>
          <w:rFonts w:hint="eastAsia" w:ascii="Times New Roman" w:hAnsi="Times New Roman" w:eastAsia="仿宋_GB2312" w:cs="Times New Roman"/>
          <w:color w:val="auto"/>
          <w:sz w:val="28"/>
          <w:lang w:val="en-US" w:eastAsia="zh-CN"/>
        </w:rPr>
        <w:t>93</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（三）</w:t>
      </w:r>
      <w:r>
        <w:rPr>
          <w:rFonts w:hint="default" w:ascii="Times New Roman" w:hAnsi="Times New Roman" w:eastAsia="仿宋_GB2312" w:cs="Times New Roman"/>
          <w:color w:val="auto"/>
          <w:sz w:val="28"/>
          <w:lang w:val="en-US" w:eastAsia="zh-CN"/>
        </w:rPr>
        <w:t>北京市</w:t>
      </w:r>
      <w:r>
        <w:rPr>
          <w:rFonts w:hint="eastAsia" w:ascii="Times New Roman" w:hAnsi="Times New Roman" w:eastAsia="仿宋_GB2312" w:cs="Times New Roman"/>
          <w:color w:val="auto"/>
          <w:sz w:val="28"/>
          <w:lang w:val="en-US" w:eastAsia="zh-CN"/>
        </w:rPr>
        <w:t>海淀</w:t>
      </w:r>
      <w:r>
        <w:rPr>
          <w:rFonts w:hint="default" w:ascii="Times New Roman" w:hAnsi="Times New Roman" w:eastAsia="仿宋_GB2312" w:cs="Times New Roman"/>
          <w:color w:val="auto"/>
          <w:sz w:val="28"/>
          <w:lang w:val="en-US" w:eastAsia="zh-CN"/>
        </w:rPr>
        <w:t>区规划和自然资源综合事务中心</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010-67412255</w:t>
      </w:r>
      <w:r>
        <w:rPr>
          <w:rFonts w:hint="eastAsia"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default" w:ascii="Times New Roman" w:hAnsi="Times New Roman" w:eastAsia="仿宋_GB2312" w:cs="Times New Roman"/>
          <w:color w:val="auto"/>
          <w:sz w:val="28"/>
        </w:rPr>
        <w:t>20</w:t>
      </w:r>
      <w:r>
        <w:rPr>
          <w:rFonts w:ascii="Times New Roman" w:hAnsi="Times New Roman" w:eastAsia="仿宋_GB2312" w:cs="Times New Roman"/>
          <w:color w:val="auto"/>
          <w:sz w:val="28"/>
        </w:rPr>
        <w:t>2</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rPr>
        <w:t>年</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月</w:t>
      </w:r>
      <w:r>
        <w:rPr>
          <w:rFonts w:hint="eastAsia" w:ascii="Times New Roman" w:hAnsi="Times New Roman" w:eastAsia="仿宋_GB2312" w:cs="Times New Roman"/>
          <w:color w:val="auto"/>
          <w:sz w:val="28"/>
          <w:lang w:val="en-US" w:eastAsia="zh-CN"/>
        </w:rPr>
        <w:t>28</w:t>
      </w:r>
      <w:r>
        <w:rPr>
          <w:rFonts w:hint="default" w:ascii="Times New Roman" w:hAnsi="Times New Roman" w:eastAsia="仿宋_GB2312" w:cs="Times New Roman"/>
          <w:color w:val="auto"/>
          <w:sz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3DE67F3A"/>
    <w:rsid w:val="4B0F42D1"/>
    <w:rsid w:val="4EBC209D"/>
    <w:rsid w:val="54F26182"/>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微软雅黑" w:cs="Times New Roman"/>
    </w:rPr>
  </w:style>
  <w:style w:type="paragraph" w:styleId="3">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2024-11-27T03:06:19Z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